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SILICON MOTION TECHNOLOGY CORPORATION</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080" w:type="dxa"/>
            <w:vAlign w:val="bottom"/>
          </w:tcPr>
          <w:p>
            <w:pPr>
              <w:jc w:val="center"/>
              <w:ind w:right="1122"/>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3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000-51380</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49"/>
        </w:trPr>
        <w:tc>
          <w:tcPr>
            <w:tcW w:w="3080" w:type="dxa"/>
            <w:vAlign w:val="bottom"/>
          </w:tcPr>
          <w:p>
            <w:pPr>
              <w:jc w:val="center"/>
              <w:ind w:right="1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60" w:type="dxa"/>
            <w:vAlign w:val="bottom"/>
          </w:tcPr>
          <w:p>
            <w:pPr>
              <w:ind w:left="12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80" w:type="dxa"/>
            <w:vAlign w:val="bottom"/>
          </w:tcPr>
          <w:p>
            <w:pPr>
              <w:jc w:val="center"/>
              <w:ind w:right="11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6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Flat C, 19/F, Wing Cheong Commercial Building, Nos 19-25 Jervois Street, Hong Kong</w:t>
      </w:r>
    </w:p>
    <w:p>
      <w:pPr>
        <w:spacing w:after="0" w:line="25"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Jason Tsai, Chief Financial Officer</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+852 2307 4768</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Conflict Minerals Disclosure</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Silicon Motion Technology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filed a Conflict Minerals Report for the year ended December 31, 2025, herewith as Exhibit 1.01, which is also publicly available on the Company’s website at </w:t>
      </w:r>
      <w:r>
        <w:rPr>
          <w:rFonts w:ascii="Times New Roman" w:cs="Times New Roman" w:eastAsia="Times New Roman" w:hAnsi="Times New Roman"/>
          <w:sz w:val="18"/>
          <w:szCs w:val="18"/>
          <w:u w:val="single" w:color="auto"/>
          <w:color w:val="auto"/>
        </w:rPr>
        <w:t>www.siliconmotion.com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0000EE"/>
        </w:rPr>
        <w:t>Exhibit 1.01 Conflict Minerals Report as required by Items 1.01 and 1.02 of Form SD</w:t>
      </w:r>
    </w:p>
    <w:p>
      <w:pPr>
        <w:spacing w:after="0" w:line="252" w:lineRule="exact"/>
        <w:rPr>
          <w:sz w:val="20"/>
          <w:szCs w:val="20"/>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the Company’s website is provided for convenience only, and its contents are not incorporated by reference into this Form SD and the Conflict Minerals Report nor deemed filed with the U.S. Securities and Exchange Commission.</w:t>
      </w:r>
    </w:p>
    <w:p>
      <w:pPr>
        <w:sectPr>
          <w:pgSz w:w="11900" w:h="16838" w:orient="portrait"/>
          <w:cols w:equalWidth="0" w:num="1">
            <w:col w:w="10724"/>
          </w:cols>
          <w:pgMar w:left="436" w:top="266" w:right="7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SILICON MOTION TECHNOLOGY CORPORATION</w:t>
      </w:r>
    </w:p>
    <w:p>
      <w:pPr>
        <w:spacing w:after="0" w:line="225" w:lineRule="exact"/>
        <w:rPr>
          <w:sz w:val="20"/>
          <w:szCs w:val="20"/>
          <w:color w:val="auto"/>
        </w:rPr>
      </w:pPr>
    </w:p>
    <w:p>
      <w:pPr>
        <w:spacing w:after="0"/>
        <w:tabs>
          <w:tab w:leader="none" w:pos="400" w:val="left"/>
          <w:tab w:leader="none" w:pos="5820" w:val="left"/>
        </w:tabs>
        <w:rPr>
          <w:sz w:val="20"/>
          <w:szCs w:val="20"/>
          <w:color w:val="auto"/>
        </w:rPr>
      </w:pPr>
      <w:r>
        <w:rPr>
          <w:rFonts w:ascii="Times New Roman" w:cs="Times New Roman" w:eastAsia="Times New Roman" w:hAnsi="Times New Roman"/>
          <w:sz w:val="18"/>
          <w:szCs w:val="18"/>
          <w:b w:val="1"/>
          <w:bCs w:val="1"/>
          <w:color w:val="auto"/>
        </w:rPr>
        <w:t>By:</w:t>
        <w:tab/>
        <w:t>/s/ Jason Tsai</w:t>
      </w:r>
      <w:r>
        <w:rPr>
          <w:sz w:val="20"/>
          <w:szCs w:val="20"/>
          <w:color w:val="auto"/>
        </w:rPr>
        <w:tab/>
      </w:r>
      <w:r>
        <w:rPr>
          <w:rFonts w:ascii="Times New Roman" w:cs="Times New Roman" w:eastAsia="Times New Roman" w:hAnsi="Times New Roman"/>
          <w:sz w:val="18"/>
          <w:szCs w:val="18"/>
          <w:b w:val="1"/>
          <w:bCs w:val="1"/>
          <w:color w:val="auto"/>
        </w:rPr>
        <w:t>Dated: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19685</wp:posOffset>
            </wp:positionV>
            <wp:extent cx="328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Jason Tsai</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0640"/>
          </w:cols>
          <w:pgMar w:left="440" w:top="266"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Motion Technology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Cautionary Note Concerning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This Conflict Minerals Report (this “</w:t>
      </w:r>
      <w:r>
        <w:rPr>
          <w:rFonts w:ascii="Times New Roman" w:cs="Times New Roman" w:eastAsia="Times New Roman" w:hAnsi="Times New Roman"/>
          <w:sz w:val="18"/>
          <w:szCs w:val="18"/>
          <w:i w:val="1"/>
          <w:iCs w:val="1"/>
          <w:u w:val="single" w:color="auto"/>
          <w:color w:val="auto"/>
        </w:rPr>
        <w:t>Report</w:t>
      </w:r>
      <w:r>
        <w:rPr>
          <w:rFonts w:ascii="Times New Roman" w:cs="Times New Roman" w:eastAsia="Times New Roman" w:hAnsi="Times New Roman"/>
          <w:sz w:val="18"/>
          <w:szCs w:val="18"/>
          <w:i w:val="1"/>
          <w:iCs w:val="1"/>
          <w:color w:val="auto"/>
        </w:rPr>
        <w:t>”) contains forward-looking statements within the meaning of federal securities laws. These forward-looking statements include statements concerning Silicon Motion Technology Corporation’s (“</w:t>
      </w:r>
      <w:r>
        <w:rPr>
          <w:rFonts w:ascii="Times New Roman" w:cs="Times New Roman" w:eastAsia="Times New Roman" w:hAnsi="Times New Roman"/>
          <w:sz w:val="18"/>
          <w:szCs w:val="18"/>
          <w:i w:val="1"/>
          <w:iCs w:val="1"/>
          <w:u w:val="single" w:color="auto"/>
          <w:color w:val="auto"/>
        </w:rPr>
        <w:t>Silicon Motion</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i w:val="1"/>
          <w:iCs w:val="1"/>
          <w:u w:val="single" w:color="auto"/>
          <w:color w:val="auto"/>
        </w:rPr>
        <w:t>we</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i w:val="1"/>
          <w:iCs w:val="1"/>
          <w:u w:val="single" w:color="auto"/>
          <w:color w:val="auto"/>
        </w:rPr>
        <w:t>our</w:t>
      </w:r>
      <w:r>
        <w:rPr>
          <w:rFonts w:ascii="Times New Roman" w:cs="Times New Roman" w:eastAsia="Times New Roman" w:hAnsi="Times New Roman"/>
          <w:sz w:val="18"/>
          <w:szCs w:val="18"/>
          <w:i w:val="1"/>
          <w:iCs w:val="1"/>
          <w:color w:val="auto"/>
        </w:rPr>
        <w:t>”) objectives for its conflicts mineral policy and compliance initiatives and actions it intends to take relating to conflict minerals. Forward-looking statements involve substantial risks and uncertainties that could cause actual results to differ materially from currently anticipated results. When considering forward-looking statements, you should consider, among other factors, the risk factors described in the reports and other filings that Silicon Motion files with the United States Securities and Exchange Commission (the “</w:t>
      </w:r>
      <w:r>
        <w:rPr>
          <w:rFonts w:ascii="Times New Roman" w:cs="Times New Roman" w:eastAsia="Times New Roman" w:hAnsi="Times New Roman"/>
          <w:sz w:val="18"/>
          <w:szCs w:val="18"/>
          <w:i w:val="1"/>
          <w:iCs w:val="1"/>
          <w:u w:val="single" w:color="auto"/>
          <w:color w:val="auto"/>
        </w:rPr>
        <w:t>SEC</w:t>
      </w:r>
      <w:r>
        <w:rPr>
          <w:rFonts w:ascii="Times New Roman" w:cs="Times New Roman" w:eastAsia="Times New Roman" w:hAnsi="Times New Roman"/>
          <w:sz w:val="18"/>
          <w:szCs w:val="18"/>
          <w:i w:val="1"/>
          <w:iCs w:val="1"/>
          <w:color w:val="auto"/>
        </w:rPr>
        <w:t>”), including Silicon Motion’s Annual Report on Form 20-F for the year ended December 31, 2025, and its subsequent reports of quarterly financial information delivered on reports of foreign private issuer on Form 6-K. The risk factors and cautionary notes included in these filings are not exhaustive, and risks that are not identified therein could materially affect whether Silicon Motion realizes the results anticipated or implied by any forward-looking statements contained in this Report. Except as required by law, Silicon Motion disclaims any obligation to update these forward-looking statements, whether as a result of new information, future events,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Report for Silicon Motion covers the reporting period from January 1, 2025 to December 31, 2025 and is presented in accordance with Rule 13p-1 promulgated under the Securities Exchange Act of 1934, as amended (“</w:t>
      </w:r>
      <w:r>
        <w:rPr>
          <w:rFonts w:ascii="Times New Roman" w:cs="Times New Roman" w:eastAsia="Times New Roman" w:hAnsi="Times New Roman"/>
          <w:sz w:val="18"/>
          <w:szCs w:val="18"/>
          <w:u w:val="single" w:color="auto"/>
          <w:color w:val="auto"/>
        </w:rPr>
        <w:t>Rule 13p-1</w:t>
      </w:r>
      <w:r>
        <w:rPr>
          <w:rFonts w:ascii="Times New Roman" w:cs="Times New Roman" w:eastAsia="Times New Roman" w:hAnsi="Times New Roman"/>
          <w:sz w:val="18"/>
          <w:szCs w:val="18"/>
          <w:color w:val="auto"/>
        </w:rPr>
        <w:t xml:space="preserve">”). This Report is filed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to our Specialized Disclosure Report on Form SD (the “</w:t>
      </w:r>
      <w:r>
        <w:rPr>
          <w:rFonts w:ascii="Times New Roman" w:cs="Times New Roman" w:eastAsia="Times New Roman" w:hAnsi="Times New Roman"/>
          <w:sz w:val="18"/>
          <w:szCs w:val="18"/>
          <w:u w:val="single" w:color="auto"/>
          <w:color w:val="auto"/>
        </w:rPr>
        <w:t>Form SD</w:t>
      </w:r>
      <w:r>
        <w:rPr>
          <w:rFonts w:ascii="Times New Roman" w:cs="Times New Roman" w:eastAsia="Times New Roman" w:hAnsi="Times New Roman"/>
          <w:sz w:val="18"/>
          <w:szCs w:val="18"/>
          <w:color w:val="auto"/>
        </w:rPr>
        <w:t xml:space="preserve">”). A copy of this Report and the Form SD are publicly available on our website at </w:t>
      </w:r>
      <w:r>
        <w:rPr>
          <w:rFonts w:ascii="Times New Roman" w:cs="Times New Roman" w:eastAsia="Times New Roman" w:hAnsi="Times New Roman"/>
          <w:sz w:val="18"/>
          <w:szCs w:val="18"/>
          <w:u w:val="single" w:color="auto"/>
          <w:color w:val="auto"/>
        </w:rPr>
        <w:t>http://www.siliconmotion.com</w:t>
      </w:r>
      <w:r>
        <w:rPr>
          <w:rFonts w:ascii="Times New Roman" w:cs="Times New Roman" w:eastAsia="Times New Roman" w:hAnsi="Times New Roman"/>
          <w:sz w:val="18"/>
          <w:szCs w:val="18"/>
          <w:color w:val="auto"/>
        </w:rPr>
        <w:t>. The contents of any website referenced in this Report are not a part of this Report nor deemed filed with the SEC.</w:t>
      </w:r>
    </w:p>
    <w:p>
      <w:pPr>
        <w:spacing w:after="0" w:line="180" w:lineRule="exact"/>
        <w:rPr>
          <w:sz w:val="20"/>
          <w:szCs w:val="20"/>
          <w:color w:val="auto"/>
        </w:rPr>
      </w:pPr>
    </w:p>
    <w:p>
      <w:pPr>
        <w:ind w:right="140" w:firstLine="440"/>
        <w:spacing w:after="0" w:line="274" w:lineRule="auto"/>
        <w:rPr>
          <w:sz w:val="20"/>
          <w:szCs w:val="20"/>
          <w:color w:val="auto"/>
        </w:rPr>
      </w:pPr>
      <w:r>
        <w:rPr>
          <w:rFonts w:ascii="Times New Roman" w:cs="Times New Roman" w:eastAsia="Times New Roman" w:hAnsi="Times New Roman"/>
          <w:sz w:val="17"/>
          <w:szCs w:val="17"/>
          <w:color w:val="auto"/>
        </w:rPr>
        <w:t>In 2010, the United States enacted the Dodd-Frank Wall Street Reform and Consumer Protection Act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Section 1502 of the Act relates to conflict minerals and requires companies subject to the Act to file a Form SD annually with the SEC to disclose whether the tungsten, tantalum, tin, and gold (referred to as “</w:t>
      </w:r>
      <w:r>
        <w:rPr>
          <w:rFonts w:ascii="Times New Roman" w:cs="Times New Roman" w:eastAsia="Times New Roman" w:hAnsi="Times New Roman"/>
          <w:sz w:val="17"/>
          <w:szCs w:val="17"/>
          <w:u w:val="single" w:color="auto"/>
          <w:color w:val="auto"/>
        </w:rPr>
        <w:t>3TG</w:t>
      </w:r>
      <w:r>
        <w:rPr>
          <w:rFonts w:ascii="Times New Roman" w:cs="Times New Roman" w:eastAsia="Times New Roman" w:hAnsi="Times New Roman"/>
          <w:sz w:val="17"/>
          <w:szCs w:val="17"/>
          <w:color w:val="auto"/>
        </w:rPr>
        <w:t>”) used in their products benefitted, directly or indirectly, armed groups in the Democratic Republic of the Congo and adjoining countries (collectively, the “</w:t>
      </w:r>
      <w:r>
        <w:rPr>
          <w:rFonts w:ascii="Times New Roman" w:cs="Times New Roman" w:eastAsia="Times New Roman" w:hAnsi="Times New Roman"/>
          <w:sz w:val="17"/>
          <w:szCs w:val="17"/>
          <w:u w:val="single" w:color="auto"/>
          <w:color w:val="auto"/>
        </w:rPr>
        <w:t>Covered Countries</w:t>
      </w:r>
      <w:r>
        <w:rPr>
          <w:rFonts w:ascii="Times New Roman" w:cs="Times New Roman" w:eastAsia="Times New Roman" w:hAnsi="Times New Roman"/>
          <w:sz w:val="17"/>
          <w:szCs w:val="17"/>
          <w:color w:val="auto"/>
        </w:rPr>
        <w:t>”). This Report, which is an exhibit to our Form SD, describes the design and implementation of our conflict minerals due diligence measures that we have undertaken since 2013, including a description of how these measures were designed to determine, to our knowledge, the source mines, countries of origin, and processing facilities for 3TG contained in components used in our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Background and Covered Products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Silicon Motion is the global leader in supplying NAND flash controllers for solid state storage devices. Silicon Motion is a world leading supplier of SSD controllers for servers, PCs and other client devices and is a leading merchant supplier of eMMC and UFS embedded storage controllers used in smartphones, IoT devices and other applications. We also supply customized high-performance and specialized enterprise, industrial and automotive SSD solutions. Our customers include most of the NAND flash vendors, storage device module makers and leading OEMs.</w:t>
      </w:r>
    </w:p>
    <w:p>
      <w:pPr>
        <w:sectPr>
          <w:pgSz w:w="11900" w:h="16838" w:orient="portrait"/>
          <w:cols w:equalWidth="0" w:num="1">
            <w:col w:w="11020"/>
          </w:cols>
          <w:pgMar w:left="440" w:top="117" w:right="439" w:bottom="1440" w:gutter="0" w:footer="0" w:header="0"/>
        </w:sectPr>
      </w:pPr>
    </w:p>
    <w:bookmarkStart w:id="4" w:name="page5"/>
    <w:bookmarkEnd w:id="4"/>
    <w:p>
      <w:pPr>
        <w:ind w:left="4" w:right="36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supply chain is complex, and multiple tiers exist between the mines from which 3TG are extracted and then, the incorporation into our products. We do not purchase raw ore or unrefined conflict minerals directly and make no purchases in the Covered Countries. As a result, and as described more fully below, we rely on our foundries and other suppliers to provide information on the origin of the 3TG contained in our products.</w:t>
      </w:r>
    </w:p>
    <w:p>
      <w:pPr>
        <w:spacing w:after="0" w:line="158"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For all of our controllers, which are integrated circuits, and Ferri &amp; Boot Drive solutions, which combine our controllers with NAND flash and other components, we have determined that one or more of the 3TG conflict minerals is necessary to the functionality or production of the controller or SSD solutions. As a result, all of our marketed controllers and SSD solutions are considered “covered products” for purposes of this Report.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12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Rule 13p-1 and Form SD, Silicon Motion determined that conflict minerals are necessary to the functionality or production of our products and that conflict minerals are incorporated into our products during the manufacturing process. Accordingly, for the year ended December 31, 2025, we undertook a reasonable country of origin inquiry (“</w:t>
      </w:r>
      <w:r>
        <w:rPr>
          <w:rFonts w:ascii="Times New Roman" w:cs="Times New Roman" w:eastAsia="Times New Roman" w:hAnsi="Times New Roman"/>
          <w:sz w:val="18"/>
          <w:szCs w:val="18"/>
          <w:u w:val="single" w:color="auto"/>
          <w:color w:val="auto"/>
        </w:rPr>
        <w:t>RCOI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Silicon Motion’s RCOI consisted principally of submitting to our suppliers the Conflict Minerals Reporting Template (the “</w:t>
      </w:r>
      <w:r>
        <w:rPr>
          <w:rFonts w:ascii="Times New Roman" w:cs="Times New Roman" w:eastAsia="Times New Roman" w:hAnsi="Times New Roman"/>
          <w:sz w:val="18"/>
          <w:szCs w:val="18"/>
          <w:u w:val="single" w:color="auto"/>
          <w:color w:val="auto"/>
        </w:rPr>
        <w:t>CMRT</w:t>
      </w:r>
      <w:r>
        <w:rPr>
          <w:rFonts w:ascii="Times New Roman" w:cs="Times New Roman" w:eastAsia="Times New Roman" w:hAnsi="Times New Roman"/>
          <w:sz w:val="18"/>
          <w:szCs w:val="18"/>
          <w:color w:val="auto"/>
        </w:rPr>
        <w:t>”) prepared by the Responsible Minerals Initiative (the “</w:t>
      </w:r>
      <w:r>
        <w:rPr>
          <w:rFonts w:ascii="Times New Roman" w:cs="Times New Roman" w:eastAsia="Times New Roman" w:hAnsi="Times New Roman"/>
          <w:sz w:val="18"/>
          <w:szCs w:val="18"/>
          <w:u w:val="single" w:color="auto"/>
          <w:color w:val="auto"/>
        </w:rPr>
        <w:t>RMI</w:t>
      </w:r>
      <w:r>
        <w:rPr>
          <w:rFonts w:ascii="Times New Roman" w:cs="Times New Roman" w:eastAsia="Times New Roman" w:hAnsi="Times New Roman"/>
          <w:sz w:val="18"/>
          <w:szCs w:val="18"/>
          <w:color w:val="auto"/>
        </w:rPr>
        <w:t>”), a joint initiative of the Responsible Business Alliance (the “</w:t>
      </w:r>
      <w:r>
        <w:rPr>
          <w:rFonts w:ascii="Times New Roman" w:cs="Times New Roman" w:eastAsia="Times New Roman" w:hAnsi="Times New Roman"/>
          <w:sz w:val="18"/>
          <w:szCs w:val="18"/>
          <w:u w:val="single" w:color="auto"/>
          <w:color w:val="auto"/>
        </w:rPr>
        <w:t>RBA</w:t>
      </w:r>
      <w:r>
        <w:rPr>
          <w:rFonts w:ascii="Times New Roman" w:cs="Times New Roman" w:eastAsia="Times New Roman" w:hAnsi="Times New Roman"/>
          <w:sz w:val="18"/>
          <w:szCs w:val="18"/>
          <w:color w:val="auto"/>
        </w:rPr>
        <w:t>”) and Global e-Sustainability Initiative. We submitted the RMI CMRT to all of our contract manufacturers. We reviewed all responses for completeness, reasonableness, and consistency, and we followed up for corrections and clarifications as we determined appropriate.</w:t>
      </w:r>
    </w:p>
    <w:p>
      <w:pPr>
        <w:spacing w:after="0" w:line="180"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Based on our RCOI, we were unable to conclusively determine that all of the 3TG used in our products did not originate in Covered Countries. As a result, we continued our analysis through due diligence described below.</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Our Due Diligence Process</w:t>
      </w:r>
    </w:p>
    <w:p>
      <w:pPr>
        <w:spacing w:after="0" w:line="12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Silicon Motion’s due diligence measures were designed to conform, in all material respects, with the framework in the Organization for Economic Co-operation and Development (“</w:t>
      </w:r>
      <w:r>
        <w:rPr>
          <w:rFonts w:ascii="Times New Roman" w:cs="Times New Roman" w:eastAsia="Times New Roman" w:hAnsi="Times New Roman"/>
          <w:sz w:val="18"/>
          <w:szCs w:val="18"/>
          <w:u w:val="single" w:color="auto"/>
          <w:color w:val="auto"/>
        </w:rPr>
        <w:t>OECD</w:t>
      </w:r>
      <w:r>
        <w:rPr>
          <w:rFonts w:ascii="Times New Roman" w:cs="Times New Roman" w:eastAsia="Times New Roman" w:hAnsi="Times New Roman"/>
          <w:sz w:val="18"/>
          <w:szCs w:val="18"/>
          <w:color w:val="auto"/>
        </w:rPr>
        <w:t>”) Due Diligence Guidance for Responsible Supply Chains of Minerals from Conflict-Affected and High-Risk Areas (the “</w:t>
      </w:r>
      <w:r>
        <w:rPr>
          <w:rFonts w:ascii="Times New Roman" w:cs="Times New Roman" w:eastAsia="Times New Roman" w:hAnsi="Times New Roman"/>
          <w:sz w:val="18"/>
          <w:szCs w:val="18"/>
          <w:u w:val="single" w:color="auto"/>
          <w:color w:val="auto"/>
        </w:rPr>
        <w:t>OECD Framework</w:t>
      </w:r>
      <w:r>
        <w:rPr>
          <w:rFonts w:ascii="Times New Roman" w:cs="Times New Roman" w:eastAsia="Times New Roman" w:hAnsi="Times New Roman"/>
          <w:sz w:val="18"/>
          <w:szCs w:val="18"/>
          <w:color w:val="auto"/>
        </w:rPr>
        <w:t>”). The objectives of our diligence initiative were to determine, to the best of our ability, the source and chain of custody of the 3TG materials necessary for the functionality and/or production of our products; whether any such 3TG materials originated in the Covered Countries; and where such 3TG materials were determined to have originated in Covered Countries, and whether armed groups directly or indirectly benefitted from such 3TG materials.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Due diligence measures that we implemented included, but were not limited, to the following:</w:t>
      </w:r>
    </w:p>
    <w:p>
      <w:pPr>
        <w:spacing w:after="0" w:line="131"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Internal Management Systems</w:t>
      </w:r>
    </w:p>
    <w:p>
      <w:pPr>
        <w:spacing w:after="0" w:line="129" w:lineRule="exact"/>
        <w:rPr>
          <w:sz w:val="20"/>
          <w:szCs w:val="20"/>
          <w:color w:val="auto"/>
        </w:rPr>
      </w:pPr>
    </w:p>
    <w:p>
      <w:pPr>
        <w:ind w:left="424" w:right="200" w:hanging="424"/>
        <w:spacing w:after="0" w:line="267"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Conflict Minerals Policy</w:t>
      </w:r>
      <w:r>
        <w:rPr>
          <w:rFonts w:ascii="Times New Roman" w:cs="Times New Roman" w:eastAsia="Times New Roman" w:hAnsi="Times New Roman"/>
          <w:sz w:val="18"/>
          <w:szCs w:val="18"/>
          <w:color w:val="auto"/>
        </w:rPr>
        <w:t>. Beginning in 2013, we adopted and communicated to our foundries and other suppliers a written policy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use of conflict minerals in our supply chain. A copy of our policy, our Conflict-Free Minerals Statement is publicly available at </w:t>
      </w:r>
      <w:r>
        <w:rPr>
          <w:rFonts w:ascii="Times New Roman" w:cs="Times New Roman" w:eastAsia="Times New Roman" w:hAnsi="Times New Roman"/>
          <w:sz w:val="18"/>
          <w:szCs w:val="18"/>
          <w:u w:val="single" w:color="auto"/>
          <w:color w:val="auto"/>
        </w:rPr>
        <w:t>https://www.siliconmotion.com/uploads/about/Conflict-Free-Minerals-Statement.pdf</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424" w:right="140" w:hanging="424"/>
        <w:spacing w:after="0" w:line="267"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Management to Support Supply Chain Due Diligence</w:t>
      </w:r>
      <w:r>
        <w:rPr>
          <w:rFonts w:ascii="Times New Roman" w:cs="Times New Roman" w:eastAsia="Times New Roman" w:hAnsi="Times New Roman"/>
          <w:sz w:val="18"/>
          <w:szCs w:val="18"/>
          <w:color w:val="auto"/>
        </w:rPr>
        <w:t>. Silicon Motion has established an internal compliance team with members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 finance, and legal functions, and these individuals are charged with the development and implementation of our conflict minerals program.</w:t>
      </w:r>
    </w:p>
    <w:p>
      <w:pPr>
        <w:spacing w:after="0" w:line="78" w:lineRule="exact"/>
        <w:rPr>
          <w:rFonts w:ascii="Times New Roman" w:cs="Times New Roman" w:eastAsia="Times New Roman" w:hAnsi="Times New Roman"/>
          <w:sz w:val="18"/>
          <w:szCs w:val="18"/>
          <w:color w:val="auto"/>
        </w:rPr>
      </w:pPr>
    </w:p>
    <w:p>
      <w:pPr>
        <w:ind w:left="424" w:right="180" w:hanging="424"/>
        <w:spacing w:after="0" w:line="267"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Controls and Transparency</w:t>
      </w:r>
      <w:r>
        <w:rPr>
          <w:rFonts w:ascii="Times New Roman" w:cs="Times New Roman" w:eastAsia="Times New Roman" w:hAnsi="Times New Roman"/>
          <w:sz w:val="18"/>
          <w:szCs w:val="18"/>
          <w:color w:val="auto"/>
        </w:rPr>
        <w:t>. As described above, we undertook an RCOI with respect to conflict minerals in our supply chain by providing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RMI template to each of our contract manufacturers to gather information about their use of 3TG, the smelters and refiners in their supply chain that are included in our products, and the countries of origin for 3TG used in our products.</w:t>
      </w:r>
    </w:p>
    <w:p>
      <w:pPr>
        <w:sectPr>
          <w:pgSz w:w="11900" w:h="16838" w:orient="portrait"/>
          <w:cols w:equalWidth="0" w:num="1">
            <w:col w:w="10984"/>
          </w:cols>
          <w:pgMar w:left="436" w:top="270" w:right="479" w:bottom="1440" w:gutter="0" w:footer="0" w:header="0"/>
        </w:sectPr>
      </w:pPr>
    </w:p>
    <w:bookmarkStart w:id="5" w:name="page6"/>
    <w:bookmarkEnd w:id="5"/>
    <w:p>
      <w:pPr>
        <w:ind w:left="424" w:right="6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Engagement</w:t>
      </w:r>
      <w:r>
        <w:rPr>
          <w:rFonts w:ascii="Times New Roman" w:cs="Times New Roman" w:eastAsia="Times New Roman" w:hAnsi="Times New Roman"/>
          <w:sz w:val="18"/>
          <w:szCs w:val="18"/>
          <w:color w:val="auto"/>
        </w:rPr>
        <w:t>. We continue to engage actively with our contract manufacturers to strengthen our relationship with them. We have communicated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foundries and other suppliers our commitment to source 3TG in a manner that does not, directly or indirectly, benefit armed groups in the Covered Countries, and we have communicated that we will consider alternative arrangements with other manufacturers or suppliers who are unable to cooperate in our due diligence efforts.</w:t>
      </w:r>
    </w:p>
    <w:p>
      <w:pPr>
        <w:spacing w:after="0" w:line="85" w:lineRule="exact"/>
        <w:rPr>
          <w:rFonts w:ascii="Times New Roman" w:cs="Times New Roman" w:eastAsia="Times New Roman" w:hAnsi="Times New Roman"/>
          <w:sz w:val="18"/>
          <w:szCs w:val="18"/>
          <w:color w:val="auto"/>
        </w:rPr>
      </w:pPr>
    </w:p>
    <w:p>
      <w:pPr>
        <w:ind w:left="424" w:right="180" w:hanging="424"/>
        <w:spacing w:after="0" w:line="267"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Grievance Mechanism</w:t>
      </w:r>
      <w:r>
        <w:rPr>
          <w:rFonts w:ascii="Times New Roman" w:cs="Times New Roman" w:eastAsia="Times New Roman" w:hAnsi="Times New Roman"/>
          <w:sz w:val="18"/>
          <w:szCs w:val="18"/>
          <w:color w:val="auto"/>
        </w:rPr>
        <w:t>. Silicon Motion’s code of conduct and ethics includes procedures for reporting violations of any Silicon Motion policy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requirement, and we provide mechanisms for anonymous reporting of such violations or concerns about the conduct of our business, including our implementation and enforcement of our Conflict-Free Minerals Statement.</w:t>
      </w:r>
    </w:p>
    <w:p>
      <w:pPr>
        <w:spacing w:after="0" w:line="81"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Assessment of Risks in the Supply Chain</w:t>
      </w:r>
    </w:p>
    <w:p>
      <w:pPr>
        <w:spacing w:after="0" w:line="11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Because of our position within our supply chain, identifying actors upstream from our contract manufacturers is difficult. As discussed above, we identified our foundries and other suppliers and relied on them to provide the necessary information about the source of conflict minerals contained in the products that we contract to have manufactured. Similarly, our foundries and other suppliers rely on information provided by their suppliers to provide information regarding the country of origin of 3TG included in our products.</w:t>
      </w:r>
    </w:p>
    <w:p>
      <w:pPr>
        <w:spacing w:after="0" w:line="85"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Designing and Implementing a Strategy to Respond to Identified Risks</w:t>
      </w:r>
    </w:p>
    <w:p>
      <w:pPr>
        <w:spacing w:after="0" w:line="11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We have developed a formal risk management plan through which our conflict minerals program is implemented, managed, and monitored. During calendar years 2013-25 and continuing into the current year where foundries or other suppliers were unable to provide us with complete or reliable responses to the RMI CMRT, we considered these matters internally. To date, we have not identified any circumstances where we concluded that it was necessary to terminate any contract or relationship or find a replacement manufacturer or supplier as a result of conflict minerals matters.</w:t>
      </w:r>
    </w:p>
    <w:p>
      <w:pPr>
        <w:spacing w:after="0" w:line="85"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Carrying Out Independent Third-Party Audit of Supply Chain Due Diligence at Identified Points in the Supply Chain</w:t>
      </w:r>
    </w:p>
    <w:p>
      <w:pPr>
        <w:spacing w:after="0" w:line="11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We do not have a direct relationship with any smelters or refiners in our supply chain. As a result, we do not and cannot conduct direct audits. Instead, we support the development and implementation of independent third-party audits of smelters such as the RMI’s Responsible Minerals Assurance Process (“</w:t>
      </w:r>
      <w:r>
        <w:rPr>
          <w:rFonts w:ascii="Times New Roman" w:cs="Times New Roman" w:eastAsia="Times New Roman" w:hAnsi="Times New Roman"/>
          <w:sz w:val="18"/>
          <w:szCs w:val="18"/>
          <w:u w:val="single" w:color="auto"/>
          <w:color w:val="auto"/>
        </w:rPr>
        <w:t>RMAP</w:t>
      </w:r>
      <w:r>
        <w:rPr>
          <w:rFonts w:ascii="Times New Roman" w:cs="Times New Roman" w:eastAsia="Times New Roman" w:hAnsi="Times New Roman"/>
          <w:sz w:val="18"/>
          <w:szCs w:val="18"/>
          <w:color w:val="auto"/>
        </w:rPr>
        <w:t>”) by encouraging our foundries and other suppliers to purchase materials from audited smelters that have been validated as conflict-free under the RMAP.</w:t>
      </w:r>
    </w:p>
    <w:p>
      <w:pPr>
        <w:spacing w:after="0" w:line="85"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on Supply Chain Due Diligence</w:t>
      </w:r>
    </w:p>
    <w:p>
      <w:pPr>
        <w:spacing w:after="0" w:line="117"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In May 2026, we publicly filed the Form SD and this Report with the SEC. A copy of this Report and the Form SD are publicly available at www.siliconmotion.com. This Report includes information about the RCOI methodology utilized by Silicon Motion, the design of our due diligence process in conformance with the OECD Framework and a description of our products that incorporate conflict minerals necessary to the functionality or production of such products.</w:t>
      </w:r>
    </w:p>
    <w:sectPr>
      <w:pgSz w:w="11900" w:h="16838" w:orient="portrait"/>
      <w:cols w:equalWidth="0" w:num="1">
        <w:col w:w="11004"/>
      </w:cols>
      <w:pgMar w:left="436" w:top="2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2026-05-29T05:52:04Z</dcterms:created>
  <dcterms:modified xsi:type="dcterms:W3CDTF">2026-05-29T05:52:04Z</dcterms:modified>
</cp:coreProperties>
</file>